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52EE" w14:textId="77777777" w:rsidR="00DE60AB" w:rsidRDefault="00DE60AB" w:rsidP="00DE60AB">
      <w:pPr>
        <w:jc w:val="center"/>
        <w:rPr>
          <w:rFonts w:ascii="Gordita" w:hAnsi="Gordita"/>
          <w:b/>
          <w:bCs/>
          <w:sz w:val="44"/>
          <w:szCs w:val="44"/>
        </w:rPr>
      </w:pPr>
      <w:bookmarkStart w:id="0" w:name="_Hlk34915616"/>
    </w:p>
    <w:p w14:paraId="0D51313E" w14:textId="772BAD88" w:rsidR="00DE60AB" w:rsidRDefault="00EF5C5A" w:rsidP="00DE60AB">
      <w:pPr>
        <w:jc w:val="center"/>
        <w:rPr>
          <w:rFonts w:ascii="Gordita" w:hAnsi="Gordita"/>
          <w:b/>
          <w:bCs/>
          <w:sz w:val="44"/>
          <w:szCs w:val="44"/>
        </w:rPr>
      </w:pPr>
      <w:r w:rsidRPr="00C604CC">
        <w:rPr>
          <w:noProof/>
        </w:rPr>
        <w:drawing>
          <wp:inline distT="0" distB="0" distL="0" distR="0" wp14:anchorId="61AD4180" wp14:editId="4EB6B885">
            <wp:extent cx="1828800" cy="2275644"/>
            <wp:effectExtent l="0" t="0" r="0" b="0"/>
            <wp:docPr id="4" name="Picture 4" descr="A picture containing text, building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ilding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10" cy="228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F015" w14:textId="77777777" w:rsidR="00DE60AB" w:rsidRDefault="00DE60AB" w:rsidP="00DE60AB">
      <w:pPr>
        <w:jc w:val="center"/>
        <w:rPr>
          <w:rFonts w:ascii="Gordita" w:hAnsi="Gordita"/>
          <w:b/>
          <w:bCs/>
          <w:sz w:val="44"/>
          <w:szCs w:val="44"/>
        </w:rPr>
      </w:pPr>
    </w:p>
    <w:p w14:paraId="7D85C540" w14:textId="77777777" w:rsidR="00EF5C5A" w:rsidRPr="001C1685" w:rsidRDefault="00EF5C5A" w:rsidP="00EF5C5A">
      <w:pPr>
        <w:jc w:val="center"/>
        <w:rPr>
          <w:sz w:val="48"/>
          <w:szCs w:val="48"/>
        </w:rPr>
      </w:pPr>
      <w:r w:rsidRPr="001C1685">
        <w:rPr>
          <w:sz w:val="48"/>
          <w:szCs w:val="48"/>
        </w:rPr>
        <w:t>MERJ Depository and Registry Limited</w:t>
      </w:r>
    </w:p>
    <w:p w14:paraId="0FED16FF" w14:textId="0A55F4CA" w:rsidR="00EF5C5A" w:rsidRPr="001C1685" w:rsidRDefault="00EF5C5A" w:rsidP="00EF5C5A">
      <w:pPr>
        <w:jc w:val="center"/>
        <w:rPr>
          <w:sz w:val="32"/>
          <w:szCs w:val="32"/>
        </w:rPr>
      </w:pPr>
      <w:r>
        <w:rPr>
          <w:sz w:val="32"/>
          <w:szCs w:val="32"/>
        </w:rPr>
        <w:t>FORM OF LEGAL OPINION</w:t>
      </w:r>
    </w:p>
    <w:p w14:paraId="1597FA19" w14:textId="77777777" w:rsidR="00EF5C5A" w:rsidRPr="001C1685" w:rsidRDefault="00EF5C5A" w:rsidP="00EF5C5A">
      <w:pPr>
        <w:jc w:val="center"/>
        <w:rPr>
          <w:sz w:val="24"/>
          <w:szCs w:val="24"/>
        </w:rPr>
      </w:pPr>
      <w:r w:rsidRPr="001C1685">
        <w:rPr>
          <w:sz w:val="24"/>
          <w:szCs w:val="24"/>
        </w:rPr>
        <w:t>(Necessary for Securities to Become</w:t>
      </w:r>
    </w:p>
    <w:p w14:paraId="0262532C" w14:textId="77777777" w:rsidR="00EF5C5A" w:rsidRPr="001C1685" w:rsidRDefault="00EF5C5A" w:rsidP="00EF5C5A">
      <w:pPr>
        <w:jc w:val="center"/>
        <w:rPr>
          <w:sz w:val="24"/>
          <w:szCs w:val="24"/>
        </w:rPr>
      </w:pPr>
      <w:r w:rsidRPr="001C1685">
        <w:rPr>
          <w:sz w:val="24"/>
          <w:szCs w:val="24"/>
        </w:rPr>
        <w:t>and Remain Eligible for MERJ DEP Services)</w:t>
      </w:r>
    </w:p>
    <w:p w14:paraId="5ECD1AB0" w14:textId="77777777" w:rsidR="00EF5C5A" w:rsidRDefault="00EF5C5A" w:rsidP="00DE60AB">
      <w:pPr>
        <w:jc w:val="center"/>
        <w:rPr>
          <w:rFonts w:ascii="Gordita" w:hAnsi="Gordita"/>
          <w:b/>
          <w:bCs/>
          <w:sz w:val="44"/>
          <w:szCs w:val="44"/>
        </w:rPr>
      </w:pPr>
    </w:p>
    <w:p w14:paraId="006D228F" w14:textId="77777777" w:rsidR="00DE60AB" w:rsidRDefault="00DE60AB" w:rsidP="00DE60AB">
      <w:pPr>
        <w:rPr>
          <w:rFonts w:ascii="Gordita" w:hAnsi="Gordita"/>
        </w:rPr>
      </w:pPr>
    </w:p>
    <w:p w14:paraId="4B0AEF1A" w14:textId="77777777" w:rsidR="00DE60AB" w:rsidRDefault="00DE60AB" w:rsidP="00DE60AB">
      <w:pPr>
        <w:rPr>
          <w:rFonts w:ascii="Gordita" w:hAnsi="Gordita"/>
        </w:rPr>
      </w:pPr>
    </w:p>
    <w:p w14:paraId="3B1151E2" w14:textId="77777777" w:rsidR="00DE60AB" w:rsidRDefault="00DE60AB" w:rsidP="00DE60AB">
      <w:pPr>
        <w:rPr>
          <w:rFonts w:ascii="Gordita" w:hAnsi="Gordita"/>
        </w:rPr>
      </w:pPr>
    </w:p>
    <w:p w14:paraId="7FAC87AA" w14:textId="71D77A41" w:rsidR="00DE60AB" w:rsidRPr="00EF5C5A" w:rsidRDefault="00F55E15" w:rsidP="007F1435">
      <w:pPr>
        <w:rPr>
          <w:rFonts w:ascii="Gordita" w:hAnsi="Gordita"/>
          <w:b/>
          <w:bCs/>
          <w:sz w:val="20"/>
          <w:szCs w:val="20"/>
          <w:u w:val="single"/>
        </w:rPr>
      </w:pPr>
      <w:r>
        <w:rPr>
          <w:rFonts w:ascii="Gordita" w:hAnsi="Gordita"/>
          <w:b/>
          <w:bCs/>
          <w:sz w:val="24"/>
          <w:szCs w:val="24"/>
          <w:u w:val="single"/>
        </w:rPr>
        <w:br w:type="page"/>
      </w:r>
      <w:r w:rsidR="00DE60AB" w:rsidRPr="00EF5C5A">
        <w:rPr>
          <w:rFonts w:ascii="Gordita" w:hAnsi="Gordita"/>
          <w:b/>
          <w:bCs/>
          <w:sz w:val="20"/>
          <w:szCs w:val="20"/>
          <w:u w:val="single"/>
        </w:rPr>
        <w:lastRenderedPageBreak/>
        <w:t xml:space="preserve">Legal opinion regarding affiliation of </w:t>
      </w:r>
      <w:r w:rsidR="007526F5" w:rsidRPr="00EF5C5A">
        <w:rPr>
          <w:rFonts w:ascii="Gordita" w:hAnsi="Gordita"/>
          <w:b/>
          <w:bCs/>
          <w:sz w:val="20"/>
          <w:szCs w:val="20"/>
          <w:u w:val="single"/>
        </w:rPr>
        <w:t>foreign</w:t>
      </w:r>
      <w:r w:rsidR="00DE60AB" w:rsidRPr="00EF5C5A">
        <w:rPr>
          <w:rFonts w:ascii="Gordita" w:hAnsi="Gordita"/>
          <w:b/>
          <w:bCs/>
          <w:sz w:val="20"/>
          <w:szCs w:val="20"/>
          <w:u w:val="single"/>
        </w:rPr>
        <w:t xml:space="preserve"> </w:t>
      </w:r>
      <w:r w:rsidR="00EF5C5A" w:rsidRPr="00EF5C5A">
        <w:rPr>
          <w:rFonts w:ascii="Gordita" w:hAnsi="Gordita"/>
          <w:b/>
          <w:bCs/>
          <w:sz w:val="20"/>
          <w:szCs w:val="20"/>
          <w:u w:val="single"/>
        </w:rPr>
        <w:t>Issuer</w:t>
      </w:r>
      <w:r w:rsidR="00DE60AB" w:rsidRPr="00EF5C5A">
        <w:rPr>
          <w:rFonts w:ascii="Gordita" w:hAnsi="Gordita"/>
          <w:b/>
          <w:bCs/>
          <w:sz w:val="20"/>
          <w:szCs w:val="20"/>
          <w:u w:val="single"/>
        </w:rPr>
        <w:t xml:space="preserve">s and registration of </w:t>
      </w:r>
      <w:r w:rsidR="007526F5" w:rsidRPr="00EF5C5A">
        <w:rPr>
          <w:rFonts w:ascii="Gordita" w:hAnsi="Gordita"/>
          <w:b/>
          <w:bCs/>
          <w:sz w:val="20"/>
          <w:szCs w:val="20"/>
          <w:u w:val="single"/>
        </w:rPr>
        <w:t>foreign</w:t>
      </w:r>
      <w:r w:rsidR="00DE60AB" w:rsidRPr="00EF5C5A">
        <w:rPr>
          <w:rFonts w:ascii="Gordita" w:hAnsi="Gordita"/>
          <w:b/>
          <w:bCs/>
          <w:sz w:val="20"/>
          <w:szCs w:val="20"/>
          <w:u w:val="single"/>
        </w:rPr>
        <w:t xml:space="preserve"> </w:t>
      </w:r>
      <w:r w:rsidR="00EF5C5A" w:rsidRPr="00EF5C5A">
        <w:rPr>
          <w:rFonts w:ascii="Gordita" w:hAnsi="Gordita"/>
          <w:b/>
          <w:bCs/>
          <w:sz w:val="20"/>
          <w:szCs w:val="20"/>
          <w:u w:val="single"/>
        </w:rPr>
        <w:t>Securities</w:t>
      </w:r>
    </w:p>
    <w:p w14:paraId="6A7CE066" w14:textId="33FCC41C" w:rsidR="00DE60AB" w:rsidRPr="00EF5C5A" w:rsidRDefault="00DE60AB" w:rsidP="2D8F087C">
      <w:pPr>
        <w:jc w:val="both"/>
        <w:rPr>
          <w:rFonts w:ascii="Gordita" w:hAnsi="Gordita"/>
          <w:sz w:val="20"/>
          <w:szCs w:val="20"/>
          <w:highlight w:val="yellow"/>
        </w:rPr>
      </w:pPr>
      <w:r w:rsidRPr="00EF5C5A">
        <w:rPr>
          <w:rFonts w:ascii="Gordita" w:hAnsi="Gordita"/>
          <w:sz w:val="20"/>
          <w:szCs w:val="20"/>
        </w:rPr>
        <w:t xml:space="preserve">Prior to </w:t>
      </w:r>
      <w:r w:rsidR="47D9C88F" w:rsidRPr="00EF5C5A">
        <w:rPr>
          <w:rFonts w:ascii="Gordita" w:hAnsi="Gordita"/>
          <w:sz w:val="20"/>
          <w:szCs w:val="20"/>
        </w:rPr>
        <w:t xml:space="preserve">provision of Securities Facility Services for any </w:t>
      </w:r>
      <w:r w:rsidR="00EF5C5A" w:rsidRPr="00EF5C5A">
        <w:rPr>
          <w:rFonts w:ascii="Gordita" w:hAnsi="Gordita"/>
          <w:sz w:val="20"/>
          <w:szCs w:val="20"/>
        </w:rPr>
        <w:t xml:space="preserve">Securities </w:t>
      </w:r>
      <w:r w:rsidR="47D9C88F" w:rsidRPr="00EF5C5A">
        <w:rPr>
          <w:rFonts w:ascii="Gordita" w:hAnsi="Gordita"/>
          <w:sz w:val="20"/>
          <w:szCs w:val="20"/>
        </w:rPr>
        <w:t>of an</w:t>
      </w:r>
      <w:r w:rsidRPr="00EF5C5A">
        <w:rPr>
          <w:rFonts w:ascii="Gordita" w:hAnsi="Gordita"/>
          <w:sz w:val="20"/>
          <w:szCs w:val="20"/>
        </w:rPr>
        <w:t xml:space="preserve">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="02E096AC" w:rsidRPr="00EF5C5A">
        <w:rPr>
          <w:rFonts w:ascii="Gordita" w:hAnsi="Gordita"/>
          <w:sz w:val="20"/>
          <w:szCs w:val="20"/>
        </w:rPr>
        <w:t xml:space="preserve">, </w:t>
      </w:r>
      <w:r w:rsidRPr="00EF5C5A">
        <w:rPr>
          <w:rFonts w:ascii="Gordita" w:hAnsi="Gordita"/>
          <w:sz w:val="20"/>
          <w:szCs w:val="20"/>
        </w:rPr>
        <w:t xml:space="preserve">MERJ Depository and Registry Ltd (“MERJ DEP”) will </w:t>
      </w:r>
      <w:r w:rsidR="289DEA0D" w:rsidRPr="00EF5C5A">
        <w:rPr>
          <w:rFonts w:ascii="Gordita" w:hAnsi="Gordita"/>
          <w:sz w:val="20"/>
          <w:szCs w:val="20"/>
        </w:rPr>
        <w:t>ordinarily</w:t>
      </w:r>
      <w:r w:rsidRPr="00EF5C5A">
        <w:rPr>
          <w:rFonts w:ascii="Gordita" w:hAnsi="Gordita"/>
          <w:sz w:val="20"/>
          <w:szCs w:val="20"/>
        </w:rPr>
        <w:t xml:space="preserve"> require a legal opinion</w:t>
      </w:r>
      <w:r w:rsidR="516BCC54" w:rsidRPr="00EF5C5A">
        <w:rPr>
          <w:rFonts w:ascii="Gordita" w:hAnsi="Gordita"/>
          <w:sz w:val="20"/>
          <w:szCs w:val="20"/>
        </w:rPr>
        <w:t xml:space="preserve"> covering key important matters relating to these services.  </w:t>
      </w:r>
      <w:r w:rsidRPr="00EF5C5A">
        <w:rPr>
          <w:rFonts w:ascii="Gordita" w:hAnsi="Gordita"/>
          <w:sz w:val="20"/>
          <w:szCs w:val="20"/>
        </w:rPr>
        <w:t xml:space="preserve">The legal opinion </w:t>
      </w:r>
      <w:r w:rsidR="486E92F2" w:rsidRPr="00EF5C5A">
        <w:rPr>
          <w:rFonts w:ascii="Gordita" w:hAnsi="Gordita"/>
          <w:sz w:val="20"/>
          <w:szCs w:val="20"/>
        </w:rPr>
        <w:t>must</w:t>
      </w:r>
      <w:r w:rsidRPr="00EF5C5A">
        <w:rPr>
          <w:rFonts w:ascii="Gordita" w:hAnsi="Gordita"/>
          <w:sz w:val="20"/>
          <w:szCs w:val="20"/>
        </w:rPr>
        <w:t xml:space="preserve"> be issued by a reputable law</w:t>
      </w:r>
      <w:r w:rsidR="00072BE5" w:rsidRPr="00EF5C5A">
        <w:rPr>
          <w:rFonts w:ascii="Gordita" w:hAnsi="Gordita"/>
          <w:sz w:val="20"/>
          <w:szCs w:val="20"/>
        </w:rPr>
        <w:t xml:space="preserve"> </w:t>
      </w:r>
      <w:r w:rsidRPr="00EF5C5A">
        <w:rPr>
          <w:rFonts w:ascii="Gordita" w:hAnsi="Gordita"/>
          <w:sz w:val="20"/>
          <w:szCs w:val="20"/>
        </w:rPr>
        <w:t>firm with in-depth knowledge of the areas covered by the legal opinion. The legal opinion must</w:t>
      </w:r>
      <w:r w:rsidR="00072BE5" w:rsidRPr="00EF5C5A">
        <w:rPr>
          <w:rFonts w:ascii="Gordita" w:hAnsi="Gordita"/>
          <w:sz w:val="20"/>
          <w:szCs w:val="20"/>
        </w:rPr>
        <w:t xml:space="preserve"> </w:t>
      </w:r>
      <w:r w:rsidRPr="00EF5C5A">
        <w:rPr>
          <w:rFonts w:ascii="Gordita" w:hAnsi="Gordita"/>
          <w:sz w:val="20"/>
          <w:szCs w:val="20"/>
        </w:rPr>
        <w:t xml:space="preserve">address the </w:t>
      </w:r>
      <w:r w:rsidR="69DF8FB7" w:rsidRPr="00EF5C5A">
        <w:rPr>
          <w:rFonts w:ascii="Gordita" w:hAnsi="Gordita"/>
          <w:sz w:val="20"/>
          <w:szCs w:val="20"/>
        </w:rPr>
        <w:t xml:space="preserve">Securities Facility Services </w:t>
      </w:r>
      <w:r w:rsidRPr="00EF5C5A">
        <w:rPr>
          <w:rFonts w:ascii="Gordita" w:hAnsi="Gordita"/>
          <w:sz w:val="20"/>
          <w:szCs w:val="20"/>
        </w:rPr>
        <w:t xml:space="preserve">Agreement </w:t>
      </w:r>
      <w:r w:rsidR="7A164739" w:rsidRPr="00EF5C5A">
        <w:rPr>
          <w:rFonts w:ascii="Gordita" w:hAnsi="Gordita"/>
          <w:sz w:val="20"/>
          <w:szCs w:val="20"/>
        </w:rPr>
        <w:t xml:space="preserve">(“the Agreement’) </w:t>
      </w:r>
      <w:r w:rsidRPr="00EF5C5A">
        <w:rPr>
          <w:rFonts w:ascii="Gordita" w:hAnsi="Gordita"/>
          <w:sz w:val="20"/>
          <w:szCs w:val="20"/>
        </w:rPr>
        <w:t xml:space="preserve">as well as the </w:t>
      </w:r>
      <w:r w:rsidR="00072BE5" w:rsidRPr="00EF5C5A">
        <w:rPr>
          <w:rFonts w:ascii="Gordita" w:hAnsi="Gordita"/>
          <w:sz w:val="20"/>
          <w:szCs w:val="20"/>
        </w:rPr>
        <w:t>MERJ DEP</w:t>
      </w:r>
      <w:r w:rsidRPr="00EF5C5A">
        <w:rPr>
          <w:rFonts w:ascii="Gordita" w:hAnsi="Gordita"/>
          <w:sz w:val="20"/>
          <w:szCs w:val="20"/>
        </w:rPr>
        <w:t xml:space="preserve"> </w:t>
      </w:r>
      <w:r w:rsidR="00EF5C5A" w:rsidRPr="00EF5C5A">
        <w:rPr>
          <w:rFonts w:ascii="Gordita" w:hAnsi="Gordita"/>
          <w:sz w:val="20"/>
          <w:szCs w:val="20"/>
        </w:rPr>
        <w:t>Securities Facility Rules Directive on Depository Interests</w:t>
      </w:r>
      <w:r w:rsidRPr="00EF5C5A">
        <w:rPr>
          <w:rFonts w:ascii="Gordita" w:hAnsi="Gordita"/>
          <w:sz w:val="20"/>
          <w:szCs w:val="20"/>
        </w:rPr>
        <w:t>, which</w:t>
      </w:r>
      <w:r w:rsidR="00072BE5" w:rsidRPr="00EF5C5A">
        <w:rPr>
          <w:rFonts w:ascii="Gordita" w:hAnsi="Gordita"/>
          <w:sz w:val="20"/>
          <w:szCs w:val="20"/>
        </w:rPr>
        <w:t xml:space="preserve"> </w:t>
      </w:r>
      <w:r w:rsidRPr="00EF5C5A">
        <w:rPr>
          <w:rFonts w:ascii="Gordita" w:hAnsi="Gordita"/>
          <w:sz w:val="20"/>
          <w:szCs w:val="20"/>
        </w:rPr>
        <w:t>is appended to and thereby forms part of the Agreement.</w:t>
      </w:r>
      <w:r w:rsidR="1FC99F00" w:rsidRPr="00EF5C5A">
        <w:rPr>
          <w:rFonts w:ascii="Gordita" w:hAnsi="Gordita"/>
          <w:sz w:val="20"/>
          <w:szCs w:val="20"/>
        </w:rPr>
        <w:t xml:space="preserve">    </w:t>
      </w:r>
    </w:p>
    <w:p w14:paraId="13B64520" w14:textId="18895556" w:rsidR="00DE60AB" w:rsidRPr="00EF5C5A" w:rsidRDefault="00DE60AB" w:rsidP="00EA6CD9">
      <w:pPr>
        <w:jc w:val="both"/>
        <w:rPr>
          <w:rFonts w:ascii="Gordita" w:hAnsi="Gordita"/>
          <w:b/>
          <w:bCs/>
          <w:sz w:val="20"/>
          <w:szCs w:val="20"/>
        </w:rPr>
      </w:pPr>
      <w:r w:rsidRPr="00EF5C5A">
        <w:rPr>
          <w:rFonts w:ascii="Gordita" w:hAnsi="Gordita"/>
          <w:b/>
          <w:bCs/>
          <w:sz w:val="20"/>
          <w:szCs w:val="20"/>
        </w:rPr>
        <w:t>Please note that a confirmation on all the below listed points is mandatory in order for</w:t>
      </w:r>
      <w:r w:rsidR="00072BE5" w:rsidRPr="00EF5C5A">
        <w:rPr>
          <w:rFonts w:ascii="Gordita" w:hAnsi="Gordita"/>
          <w:b/>
          <w:bCs/>
          <w:sz w:val="20"/>
          <w:szCs w:val="20"/>
        </w:rPr>
        <w:t xml:space="preserve"> </w:t>
      </w:r>
      <w:r w:rsidR="01BD5A4E" w:rsidRPr="00EF5C5A">
        <w:rPr>
          <w:rFonts w:ascii="Gordita" w:hAnsi="Gordita"/>
          <w:b/>
          <w:bCs/>
          <w:sz w:val="20"/>
          <w:szCs w:val="20"/>
        </w:rPr>
        <w:t>any asset to qualify as an eligible asset</w:t>
      </w:r>
      <w:r w:rsidR="29AD93CB" w:rsidRPr="00EF5C5A">
        <w:rPr>
          <w:rFonts w:ascii="Gordita" w:hAnsi="Gordita"/>
          <w:b/>
          <w:bCs/>
          <w:sz w:val="20"/>
          <w:szCs w:val="20"/>
        </w:rPr>
        <w:t>.</w:t>
      </w:r>
      <w:r w:rsidR="01BD5A4E" w:rsidRPr="00EF5C5A">
        <w:rPr>
          <w:rFonts w:ascii="Gordita" w:hAnsi="Gordita"/>
          <w:b/>
          <w:bCs/>
          <w:sz w:val="20"/>
          <w:szCs w:val="20"/>
        </w:rPr>
        <w:t xml:space="preserve">  </w:t>
      </w:r>
    </w:p>
    <w:p w14:paraId="1D0AF3B0" w14:textId="440BC010" w:rsidR="00DE60AB" w:rsidRPr="00EF5C5A" w:rsidRDefault="00DE60AB" w:rsidP="6554A42F">
      <w:pPr>
        <w:jc w:val="both"/>
        <w:rPr>
          <w:rFonts w:ascii="Gordita" w:hAnsi="Gordita"/>
          <w:color w:val="000000" w:themeColor="text1"/>
          <w:sz w:val="20"/>
          <w:szCs w:val="20"/>
        </w:rPr>
      </w:pPr>
      <w:r w:rsidRPr="00EF5C5A">
        <w:rPr>
          <w:rFonts w:ascii="Gordita" w:hAnsi="Gordita"/>
          <w:sz w:val="20"/>
          <w:szCs w:val="20"/>
        </w:rPr>
        <w:t xml:space="preserve">The legal opinion is issued at the request and at the cost of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 xml:space="preserve"> but should be addressed to</w:t>
      </w:r>
      <w:r w:rsidR="00072BE5" w:rsidRPr="00EF5C5A">
        <w:rPr>
          <w:rFonts w:ascii="Gordita" w:hAnsi="Gordita"/>
          <w:sz w:val="20"/>
          <w:szCs w:val="20"/>
        </w:rPr>
        <w:t xml:space="preserve"> MERJ </w:t>
      </w:r>
      <w:r w:rsidR="7D438131" w:rsidRPr="00EF5C5A">
        <w:rPr>
          <w:rFonts w:ascii="Gordita" w:hAnsi="Gordita"/>
          <w:sz w:val="20"/>
          <w:szCs w:val="20"/>
        </w:rPr>
        <w:t>Depository and Registry Limited</w:t>
      </w:r>
      <w:r w:rsidR="00EF5C5A" w:rsidRPr="00EF5C5A">
        <w:rPr>
          <w:rFonts w:ascii="Gordita" w:hAnsi="Gordita"/>
          <w:sz w:val="20"/>
          <w:szCs w:val="20"/>
        </w:rPr>
        <w:t xml:space="preserve"> (“MERJ DEP”)</w:t>
      </w:r>
      <w:r w:rsidRPr="00EF5C5A">
        <w:rPr>
          <w:rFonts w:ascii="Gordita" w:hAnsi="Gordita"/>
          <w:sz w:val="20"/>
          <w:szCs w:val="20"/>
        </w:rPr>
        <w:t xml:space="preserve">. The legal opinion shall be sent to </w:t>
      </w:r>
      <w:r w:rsidR="00072BE5" w:rsidRPr="00EF5C5A">
        <w:rPr>
          <w:rFonts w:ascii="Gordita" w:hAnsi="Gordita"/>
          <w:sz w:val="20"/>
          <w:szCs w:val="20"/>
        </w:rPr>
        <w:t>MERJ DEP</w:t>
      </w:r>
      <w:r w:rsidRPr="00EF5C5A">
        <w:rPr>
          <w:rFonts w:ascii="Gordita" w:hAnsi="Gordita"/>
          <w:sz w:val="20"/>
          <w:szCs w:val="20"/>
        </w:rPr>
        <w:t xml:space="preserve"> first as a draft for review</w:t>
      </w:r>
      <w:r w:rsidR="00072BE5" w:rsidRPr="00EF5C5A">
        <w:rPr>
          <w:rFonts w:ascii="Gordita" w:hAnsi="Gordita"/>
          <w:sz w:val="20"/>
          <w:szCs w:val="20"/>
        </w:rPr>
        <w:t xml:space="preserve"> </w:t>
      </w:r>
      <w:r w:rsidRPr="00EF5C5A">
        <w:rPr>
          <w:rFonts w:ascii="Gordita" w:hAnsi="Gordita"/>
          <w:sz w:val="20"/>
          <w:szCs w:val="20"/>
        </w:rPr>
        <w:t xml:space="preserve">and, when final and approved by </w:t>
      </w:r>
      <w:r w:rsidR="00072BE5" w:rsidRPr="00EF5C5A">
        <w:rPr>
          <w:rFonts w:ascii="Gordita" w:hAnsi="Gordita"/>
          <w:sz w:val="20"/>
          <w:szCs w:val="20"/>
        </w:rPr>
        <w:t>MERJ DEP</w:t>
      </w:r>
      <w:r w:rsidRPr="00EF5C5A">
        <w:rPr>
          <w:rFonts w:ascii="Gordita" w:hAnsi="Gordita"/>
          <w:color w:val="000000" w:themeColor="text1"/>
          <w:sz w:val="20"/>
          <w:szCs w:val="20"/>
        </w:rPr>
        <w:t xml:space="preserve">, in the form of a signed </w:t>
      </w:r>
      <w:r w:rsidR="6544BF86" w:rsidRPr="00EF5C5A">
        <w:rPr>
          <w:rFonts w:ascii="Gordita" w:hAnsi="Gordita"/>
          <w:color w:val="000000" w:themeColor="text1"/>
          <w:sz w:val="20"/>
          <w:szCs w:val="20"/>
        </w:rPr>
        <w:t xml:space="preserve">original along with a scan in pdf format.  </w:t>
      </w:r>
    </w:p>
    <w:p w14:paraId="4833632E" w14:textId="1F8ED6D8" w:rsidR="00DE60AB" w:rsidRPr="00EF5C5A" w:rsidRDefault="00DE60AB" w:rsidP="6554A42F">
      <w:pPr>
        <w:jc w:val="both"/>
        <w:rPr>
          <w:rFonts w:ascii="Gordita" w:hAnsi="Gordita"/>
          <w:sz w:val="20"/>
          <w:szCs w:val="20"/>
        </w:rPr>
      </w:pPr>
      <w:r w:rsidRPr="00EF5C5A">
        <w:rPr>
          <w:rFonts w:ascii="Gordita" w:hAnsi="Gordita"/>
          <w:sz w:val="20"/>
          <w:szCs w:val="20"/>
        </w:rPr>
        <w:t xml:space="preserve">The legal opinion shall contain and confirm </w:t>
      </w:r>
      <w:r w:rsidR="79BF9335" w:rsidRPr="00EF5C5A">
        <w:rPr>
          <w:rFonts w:ascii="Gordita" w:hAnsi="Gordita"/>
          <w:sz w:val="20"/>
          <w:szCs w:val="20"/>
        </w:rPr>
        <w:t xml:space="preserve">each of </w:t>
      </w:r>
      <w:r w:rsidRPr="00EF5C5A">
        <w:rPr>
          <w:rFonts w:ascii="Gordita" w:hAnsi="Gordita"/>
          <w:sz w:val="20"/>
          <w:szCs w:val="20"/>
        </w:rPr>
        <w:t>the following</w:t>
      </w:r>
      <w:r w:rsidR="77FED250" w:rsidRPr="00EF5C5A">
        <w:rPr>
          <w:rFonts w:ascii="Gordita" w:hAnsi="Gordita"/>
          <w:sz w:val="20"/>
          <w:szCs w:val="20"/>
        </w:rPr>
        <w:t xml:space="preserve"> unless </w:t>
      </w:r>
      <w:r w:rsidR="75785A18" w:rsidRPr="00EF5C5A">
        <w:rPr>
          <w:rFonts w:ascii="Gordita" w:hAnsi="Gordita"/>
          <w:sz w:val="20"/>
          <w:szCs w:val="20"/>
        </w:rPr>
        <w:t xml:space="preserve">MERJ DEP agrees in writing otherwise </w:t>
      </w:r>
      <w:r w:rsidR="77FED250" w:rsidRPr="00EF5C5A">
        <w:rPr>
          <w:rFonts w:ascii="Gordita" w:hAnsi="Gordita"/>
          <w:sz w:val="20"/>
          <w:szCs w:val="20"/>
        </w:rPr>
        <w:t>at its sole discretion:</w:t>
      </w:r>
    </w:p>
    <w:p w14:paraId="6A104DAE" w14:textId="5F656C65" w:rsidR="00E02EA4" w:rsidRPr="00EF5C5A" w:rsidRDefault="00DE60AB" w:rsidP="00EF5C5A">
      <w:pPr>
        <w:pStyle w:val="ListParagraph"/>
        <w:numPr>
          <w:ilvl w:val="0"/>
          <w:numId w:val="1"/>
        </w:numPr>
        <w:ind w:left="360"/>
        <w:jc w:val="both"/>
        <w:rPr>
          <w:rFonts w:eastAsiaTheme="minorEastAsia"/>
          <w:sz w:val="20"/>
          <w:szCs w:val="20"/>
        </w:rPr>
      </w:pPr>
      <w:r w:rsidRPr="00EF5C5A">
        <w:rPr>
          <w:rFonts w:ascii="Gordita" w:hAnsi="Gordita"/>
          <w:sz w:val="20"/>
          <w:szCs w:val="20"/>
        </w:rPr>
        <w:t xml:space="preserve">That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 xml:space="preserve"> is duly incorporated and validly existing under the laws of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>’s</w:t>
      </w:r>
      <w:r w:rsidR="00E02EA4" w:rsidRPr="00EF5C5A">
        <w:rPr>
          <w:rFonts w:ascii="Gordita" w:hAnsi="Gordita"/>
          <w:sz w:val="20"/>
          <w:szCs w:val="20"/>
        </w:rPr>
        <w:t xml:space="preserve"> </w:t>
      </w:r>
      <w:r w:rsidRPr="00EF5C5A">
        <w:rPr>
          <w:rFonts w:ascii="Gordita" w:hAnsi="Gordita"/>
          <w:sz w:val="20"/>
          <w:szCs w:val="20"/>
        </w:rPr>
        <w:t>country of incorporation.</w:t>
      </w:r>
    </w:p>
    <w:p w14:paraId="5263D783" w14:textId="77777777" w:rsidR="00E02EA4" w:rsidRPr="00EF5C5A" w:rsidRDefault="00E02EA4" w:rsidP="00EF5C5A">
      <w:pPr>
        <w:pStyle w:val="ListParagraph"/>
        <w:ind w:left="360"/>
        <w:jc w:val="both"/>
        <w:rPr>
          <w:rFonts w:ascii="Gordita" w:hAnsi="Gordita"/>
          <w:sz w:val="20"/>
          <w:szCs w:val="20"/>
        </w:rPr>
      </w:pPr>
    </w:p>
    <w:p w14:paraId="2A736F13" w14:textId="27B7B05D" w:rsidR="00DE60AB" w:rsidRPr="00EF5C5A" w:rsidRDefault="00DE60AB" w:rsidP="00EF5C5A">
      <w:pPr>
        <w:pStyle w:val="ListParagraph"/>
        <w:numPr>
          <w:ilvl w:val="0"/>
          <w:numId w:val="1"/>
        </w:numPr>
        <w:ind w:left="360"/>
        <w:jc w:val="both"/>
        <w:rPr>
          <w:rFonts w:eastAsiaTheme="minorEastAsia"/>
          <w:sz w:val="20"/>
          <w:szCs w:val="20"/>
        </w:rPr>
      </w:pPr>
      <w:r w:rsidRPr="00EF5C5A">
        <w:rPr>
          <w:rFonts w:ascii="Gordita" w:hAnsi="Gordita"/>
          <w:sz w:val="20"/>
          <w:szCs w:val="20"/>
        </w:rPr>
        <w:t xml:space="preserve">That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 xml:space="preserve"> has the corporate power and capacity to enter into the Agreement and has</w:t>
      </w:r>
      <w:r w:rsidR="00E02EA4" w:rsidRPr="00EF5C5A">
        <w:rPr>
          <w:rFonts w:ascii="Gordita" w:hAnsi="Gordita"/>
          <w:sz w:val="20"/>
          <w:szCs w:val="20"/>
        </w:rPr>
        <w:t xml:space="preserve"> </w:t>
      </w:r>
      <w:r w:rsidRPr="00EF5C5A">
        <w:rPr>
          <w:rFonts w:ascii="Gordita" w:hAnsi="Gordita"/>
          <w:sz w:val="20"/>
          <w:szCs w:val="20"/>
        </w:rPr>
        <w:t xml:space="preserve">taken the corporate and other action necessary under the laws of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>’s country of</w:t>
      </w:r>
      <w:r w:rsidR="00E02EA4" w:rsidRPr="00EF5C5A">
        <w:rPr>
          <w:rFonts w:ascii="Gordita" w:hAnsi="Gordita"/>
          <w:sz w:val="20"/>
          <w:szCs w:val="20"/>
        </w:rPr>
        <w:t xml:space="preserve"> </w:t>
      </w:r>
      <w:r w:rsidRPr="00EF5C5A">
        <w:rPr>
          <w:rFonts w:ascii="Gordita" w:hAnsi="Gordita"/>
          <w:sz w:val="20"/>
          <w:szCs w:val="20"/>
        </w:rPr>
        <w:t>incorporation to authorise the acceptance and due execution of the Agreement and the</w:t>
      </w:r>
      <w:r w:rsidR="00E02EA4" w:rsidRPr="00EF5C5A">
        <w:rPr>
          <w:rFonts w:ascii="Gordita" w:hAnsi="Gordita"/>
          <w:sz w:val="20"/>
          <w:szCs w:val="20"/>
        </w:rPr>
        <w:t xml:space="preserve"> </w:t>
      </w:r>
      <w:r w:rsidRPr="00EF5C5A">
        <w:rPr>
          <w:rFonts w:ascii="Gordita" w:hAnsi="Gordita"/>
          <w:sz w:val="20"/>
          <w:szCs w:val="20"/>
        </w:rPr>
        <w:t>performance of its obligations under the Agreement.</w:t>
      </w:r>
    </w:p>
    <w:p w14:paraId="32478F9C" w14:textId="77777777" w:rsidR="00001BB3" w:rsidRPr="00EF5C5A" w:rsidRDefault="00001BB3" w:rsidP="00EF5C5A">
      <w:pPr>
        <w:pStyle w:val="ListParagraph"/>
        <w:ind w:left="360"/>
        <w:jc w:val="both"/>
        <w:rPr>
          <w:rFonts w:ascii="Gordita" w:hAnsi="Gordita"/>
          <w:sz w:val="20"/>
          <w:szCs w:val="20"/>
        </w:rPr>
      </w:pPr>
    </w:p>
    <w:p w14:paraId="5F5DBEDF" w14:textId="5203D30F" w:rsidR="00001BB3" w:rsidRPr="00EF5C5A" w:rsidRDefault="00001BB3" w:rsidP="00EF5C5A">
      <w:pPr>
        <w:pStyle w:val="ListParagraph"/>
        <w:numPr>
          <w:ilvl w:val="0"/>
          <w:numId w:val="1"/>
        </w:numPr>
        <w:ind w:left="360"/>
        <w:jc w:val="both"/>
        <w:rPr>
          <w:rFonts w:ascii="Gordita" w:hAnsi="Gordita"/>
          <w:sz w:val="20"/>
          <w:szCs w:val="20"/>
        </w:rPr>
      </w:pPr>
      <w:r w:rsidRPr="00EF5C5A">
        <w:rPr>
          <w:rFonts w:ascii="Gordita" w:hAnsi="Gordita"/>
          <w:sz w:val="20"/>
          <w:szCs w:val="20"/>
        </w:rPr>
        <w:t xml:space="preserve">That there is no required authorization, approval or consent of, or registration or filing with, any government department or regulatory authority of or within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>’s country of incorporation for the execution and performance of the Agreement or in relation to the registration of</w:t>
      </w:r>
      <w:r w:rsidR="1D3329B3" w:rsidRPr="00EF5C5A">
        <w:rPr>
          <w:rFonts w:ascii="Gordita" w:hAnsi="Gordita"/>
          <w:sz w:val="20"/>
          <w:szCs w:val="20"/>
        </w:rPr>
        <w:t xml:space="preserve"> the</w:t>
      </w:r>
      <w:r w:rsidRPr="00EF5C5A">
        <w:rPr>
          <w:rFonts w:ascii="Gordita" w:hAnsi="Gordita"/>
          <w:sz w:val="20"/>
          <w:szCs w:val="20"/>
        </w:rPr>
        <w:t xml:space="preserve"> </w:t>
      </w:r>
      <w:r w:rsidR="00EF5C5A" w:rsidRPr="00EF5C5A">
        <w:rPr>
          <w:rFonts w:ascii="Gordita" w:hAnsi="Gordita"/>
          <w:sz w:val="20"/>
          <w:szCs w:val="20"/>
        </w:rPr>
        <w:t>Securities</w:t>
      </w:r>
      <w:r w:rsidR="32A927FC" w:rsidRPr="00EF5C5A">
        <w:rPr>
          <w:rFonts w:ascii="Gordita" w:hAnsi="Gordita"/>
          <w:sz w:val="20"/>
          <w:szCs w:val="20"/>
        </w:rPr>
        <w:t xml:space="preserve"> of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="32A927FC" w:rsidRPr="00EF5C5A">
        <w:rPr>
          <w:rFonts w:ascii="Gordita" w:hAnsi="Gordita"/>
          <w:sz w:val="20"/>
          <w:szCs w:val="20"/>
        </w:rPr>
        <w:t xml:space="preserve"> which are the subject of this legal opinion.</w:t>
      </w:r>
    </w:p>
    <w:p w14:paraId="3B1E4493" w14:textId="77777777" w:rsidR="00001BB3" w:rsidRPr="00EF5C5A" w:rsidRDefault="00001BB3" w:rsidP="00EF5C5A">
      <w:pPr>
        <w:pStyle w:val="ListParagraph"/>
        <w:ind w:left="360"/>
        <w:rPr>
          <w:rFonts w:ascii="Gordita" w:hAnsi="Gordita"/>
          <w:sz w:val="20"/>
          <w:szCs w:val="20"/>
        </w:rPr>
      </w:pPr>
    </w:p>
    <w:p w14:paraId="2161AC5E" w14:textId="4E453C01" w:rsidR="00001BB3" w:rsidRPr="00EF5C5A" w:rsidRDefault="00001BB3" w:rsidP="00EF5C5A">
      <w:pPr>
        <w:pStyle w:val="ListParagraph"/>
        <w:numPr>
          <w:ilvl w:val="0"/>
          <w:numId w:val="1"/>
        </w:numPr>
        <w:ind w:left="360"/>
        <w:jc w:val="both"/>
        <w:rPr>
          <w:rFonts w:ascii="Gordita" w:hAnsi="Gordita"/>
          <w:sz w:val="20"/>
          <w:szCs w:val="20"/>
        </w:rPr>
      </w:pPr>
      <w:r w:rsidRPr="00EF5C5A">
        <w:rPr>
          <w:rFonts w:ascii="Gordita" w:hAnsi="Gordita"/>
          <w:sz w:val="20"/>
          <w:szCs w:val="20"/>
        </w:rPr>
        <w:t xml:space="preserve">That the </w:t>
      </w:r>
      <w:r w:rsidR="00EF5C5A" w:rsidRPr="00EF5C5A">
        <w:rPr>
          <w:rFonts w:ascii="Gordita" w:hAnsi="Gordita"/>
          <w:sz w:val="20"/>
          <w:szCs w:val="20"/>
        </w:rPr>
        <w:t>I</w:t>
      </w:r>
      <w:r w:rsidRPr="00EF5C5A">
        <w:rPr>
          <w:rFonts w:ascii="Gordita" w:hAnsi="Gordita"/>
          <w:sz w:val="20"/>
          <w:szCs w:val="20"/>
        </w:rPr>
        <w:t xml:space="preserve">ssuer’s entering into and performing its obligations under the Agreement, and the transactions contemplated thereby do not conflict with any applicable law or regulation in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 xml:space="preserve">’s country of incorporation to which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 xml:space="preserve"> is subject or any provision of the corporate documents applicable to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 xml:space="preserve">.   </w:t>
      </w:r>
    </w:p>
    <w:p w14:paraId="3183292A" w14:textId="77777777" w:rsidR="00001BB3" w:rsidRPr="00EF5C5A" w:rsidRDefault="00001BB3" w:rsidP="00EF5C5A">
      <w:pPr>
        <w:pStyle w:val="ListParagraph"/>
        <w:ind w:left="360"/>
        <w:rPr>
          <w:rFonts w:ascii="Gordita" w:hAnsi="Gordita"/>
          <w:sz w:val="20"/>
          <w:szCs w:val="20"/>
        </w:rPr>
      </w:pPr>
    </w:p>
    <w:p w14:paraId="607CDEFB" w14:textId="00516609" w:rsidR="00001BB3" w:rsidRPr="00EF5C5A" w:rsidRDefault="00001BB3" w:rsidP="00EF5C5A">
      <w:pPr>
        <w:pStyle w:val="ListParagraph"/>
        <w:numPr>
          <w:ilvl w:val="0"/>
          <w:numId w:val="1"/>
        </w:numPr>
        <w:ind w:left="360"/>
        <w:jc w:val="both"/>
        <w:rPr>
          <w:rFonts w:ascii="Gordita" w:hAnsi="Gordita"/>
          <w:sz w:val="20"/>
          <w:szCs w:val="20"/>
        </w:rPr>
      </w:pPr>
      <w:r w:rsidRPr="00EF5C5A">
        <w:rPr>
          <w:rFonts w:ascii="Gordita" w:hAnsi="Gordita"/>
          <w:sz w:val="20"/>
          <w:szCs w:val="20"/>
        </w:rPr>
        <w:t xml:space="preserve">That a search of </w:t>
      </w:r>
      <w:r w:rsidR="00382EF7">
        <w:rPr>
          <w:rFonts w:ascii="Gordita" w:hAnsi="Gordita"/>
          <w:sz w:val="20"/>
          <w:szCs w:val="20"/>
        </w:rPr>
        <w:t xml:space="preserve">the </w:t>
      </w:r>
      <w:r w:rsidRPr="00EF5C5A">
        <w:rPr>
          <w:rFonts w:ascii="Gordita" w:hAnsi="Gordita"/>
          <w:sz w:val="20"/>
          <w:szCs w:val="20"/>
        </w:rPr>
        <w:t xml:space="preserve">public records today revealed no evidence of any current resolutions for winding up or dissolution of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 xml:space="preserve"> and no evidence of the appointment of any liquidator in respect of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 xml:space="preserve"> or any of its assets</w:t>
      </w:r>
      <w:r w:rsidR="00382EF7">
        <w:rPr>
          <w:rFonts w:ascii="Gordita" w:hAnsi="Gordita"/>
          <w:sz w:val="20"/>
          <w:szCs w:val="20"/>
        </w:rPr>
        <w:t>.</w:t>
      </w:r>
    </w:p>
    <w:p w14:paraId="44F3D81C" w14:textId="77777777" w:rsidR="00001BB3" w:rsidRPr="00EF5C5A" w:rsidRDefault="00001BB3" w:rsidP="00EF5C5A">
      <w:pPr>
        <w:pStyle w:val="ListParagraph"/>
        <w:ind w:left="360"/>
        <w:rPr>
          <w:rFonts w:ascii="Gordita" w:hAnsi="Gordita"/>
          <w:sz w:val="20"/>
          <w:szCs w:val="20"/>
        </w:rPr>
      </w:pPr>
    </w:p>
    <w:p w14:paraId="6F91BC5B" w14:textId="4D496D80" w:rsidR="00001BB3" w:rsidRPr="00EF5C5A" w:rsidRDefault="00001BB3" w:rsidP="00EF5C5A">
      <w:pPr>
        <w:pStyle w:val="ListParagraph"/>
        <w:numPr>
          <w:ilvl w:val="0"/>
          <w:numId w:val="1"/>
        </w:numPr>
        <w:ind w:left="360"/>
        <w:jc w:val="both"/>
        <w:rPr>
          <w:rFonts w:ascii="Gordita" w:hAnsi="Gordita"/>
          <w:sz w:val="20"/>
          <w:szCs w:val="20"/>
        </w:rPr>
      </w:pPr>
      <w:r w:rsidRPr="00EF5C5A">
        <w:rPr>
          <w:rFonts w:ascii="Gordita" w:hAnsi="Gordita"/>
          <w:sz w:val="20"/>
          <w:szCs w:val="20"/>
        </w:rPr>
        <w:t xml:space="preserve">That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 xml:space="preserve"> has duly executed the Agreement and that the Agreement thereby constitutes legal, valid and binding obligations of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 xml:space="preserve"> and would be enforceable </w:t>
      </w:r>
      <w:r w:rsidRPr="00EF5C5A">
        <w:rPr>
          <w:rFonts w:ascii="Gordita" w:hAnsi="Gordita"/>
          <w:sz w:val="20"/>
          <w:szCs w:val="20"/>
        </w:rPr>
        <w:lastRenderedPageBreak/>
        <w:t xml:space="preserve">against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 xml:space="preserve"> in accordance with its terms under the laws of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>’s country of incorporation.</w:t>
      </w:r>
    </w:p>
    <w:p w14:paraId="445F2D9F" w14:textId="77777777" w:rsidR="00001BB3" w:rsidRPr="00EF5C5A" w:rsidRDefault="00001BB3" w:rsidP="00EF5C5A">
      <w:pPr>
        <w:pStyle w:val="ListParagraph"/>
        <w:ind w:left="360"/>
        <w:rPr>
          <w:rFonts w:ascii="Gordita" w:hAnsi="Gordita"/>
          <w:sz w:val="20"/>
          <w:szCs w:val="20"/>
        </w:rPr>
      </w:pPr>
    </w:p>
    <w:p w14:paraId="58DB1115" w14:textId="16D3DD47" w:rsidR="00EF5C5A" w:rsidRPr="00EF5C5A" w:rsidRDefault="00001BB3" w:rsidP="00EF5C5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eastAsiaTheme="minorEastAsia"/>
          <w:sz w:val="20"/>
          <w:szCs w:val="20"/>
        </w:rPr>
      </w:pPr>
      <w:r w:rsidRPr="00EF5C5A">
        <w:rPr>
          <w:rFonts w:ascii="Gordita" w:hAnsi="Gordita"/>
          <w:sz w:val="20"/>
          <w:szCs w:val="20"/>
        </w:rPr>
        <w:t xml:space="preserve">That there are no tax related obligations, including tax liability, tax withholding liability and tax reporting liability, for </w:t>
      </w:r>
      <w:r w:rsidR="61E9DD17" w:rsidRPr="00EF5C5A">
        <w:rPr>
          <w:rFonts w:ascii="Gordita" w:hAnsi="Gordita"/>
          <w:sz w:val="20"/>
          <w:szCs w:val="20"/>
        </w:rPr>
        <w:t>MERJ Depository and Registry Limited or MERJ Nominees L</w:t>
      </w:r>
      <w:r w:rsidR="18D8752B" w:rsidRPr="00EF5C5A">
        <w:rPr>
          <w:rFonts w:ascii="Gordita" w:hAnsi="Gordita"/>
          <w:sz w:val="20"/>
          <w:szCs w:val="20"/>
        </w:rPr>
        <w:t>imited</w:t>
      </w:r>
      <w:r w:rsidR="61E9DD17" w:rsidRPr="00EF5C5A">
        <w:rPr>
          <w:rFonts w:ascii="Gordita" w:hAnsi="Gordita"/>
          <w:sz w:val="20"/>
          <w:szCs w:val="20"/>
        </w:rPr>
        <w:t xml:space="preserve">, </w:t>
      </w:r>
      <w:r w:rsidRPr="00EF5C5A">
        <w:rPr>
          <w:rFonts w:ascii="Gordita" w:hAnsi="Gordita"/>
          <w:sz w:val="20"/>
          <w:szCs w:val="20"/>
        </w:rPr>
        <w:t xml:space="preserve">on the initial registration or any </w:t>
      </w:r>
      <w:r w:rsidR="326E33B0" w:rsidRPr="00EF5C5A">
        <w:rPr>
          <w:rFonts w:ascii="Gordita" w:hAnsi="Gordita"/>
          <w:sz w:val="20"/>
          <w:szCs w:val="20"/>
        </w:rPr>
        <w:t xml:space="preserve">subsequent </w:t>
      </w:r>
      <w:r w:rsidRPr="00EF5C5A">
        <w:rPr>
          <w:rFonts w:ascii="Gordita" w:hAnsi="Gordita"/>
          <w:sz w:val="20"/>
          <w:szCs w:val="20"/>
        </w:rPr>
        <w:t>transfer</w:t>
      </w:r>
      <w:r w:rsidR="41B0178C" w:rsidRPr="00EF5C5A">
        <w:rPr>
          <w:rFonts w:ascii="Gordita" w:hAnsi="Gordita"/>
          <w:sz w:val="20"/>
          <w:szCs w:val="20"/>
        </w:rPr>
        <w:t>s</w:t>
      </w:r>
      <w:r w:rsidRPr="00EF5C5A">
        <w:rPr>
          <w:rFonts w:ascii="Gordita" w:hAnsi="Gordita"/>
          <w:sz w:val="20"/>
          <w:szCs w:val="20"/>
        </w:rPr>
        <w:t xml:space="preserve"> of the </w:t>
      </w:r>
      <w:r w:rsidR="60D78D56" w:rsidRPr="00EF5C5A">
        <w:rPr>
          <w:rFonts w:ascii="Gordita" w:hAnsi="Gordita"/>
          <w:sz w:val="20"/>
          <w:szCs w:val="20"/>
        </w:rPr>
        <w:t xml:space="preserve">direct or indirect interests in the </w:t>
      </w:r>
      <w:r w:rsidR="00EF5C5A" w:rsidRPr="00EF5C5A">
        <w:rPr>
          <w:rFonts w:ascii="Gordita" w:hAnsi="Gordita"/>
          <w:sz w:val="20"/>
          <w:szCs w:val="20"/>
        </w:rPr>
        <w:t>Securities</w:t>
      </w:r>
      <w:r w:rsidRPr="00EF5C5A">
        <w:rPr>
          <w:rFonts w:ascii="Gordita" w:hAnsi="Gordita"/>
          <w:sz w:val="20"/>
          <w:szCs w:val="20"/>
        </w:rPr>
        <w:t>; as stamp duty, capital duty, Financial Transaction Tax</w:t>
      </w:r>
      <w:r w:rsidR="55327512" w:rsidRPr="00EF5C5A">
        <w:rPr>
          <w:rFonts w:ascii="Gordita" w:hAnsi="Gordita"/>
          <w:sz w:val="20"/>
          <w:szCs w:val="20"/>
        </w:rPr>
        <w:t xml:space="preserve">, Financial </w:t>
      </w:r>
      <w:r w:rsidRPr="00EF5C5A">
        <w:rPr>
          <w:rFonts w:ascii="Gordita" w:hAnsi="Gordita"/>
          <w:sz w:val="20"/>
          <w:szCs w:val="20"/>
        </w:rPr>
        <w:t>or other similar taxes.</w:t>
      </w:r>
      <w:r w:rsidR="404DD089" w:rsidRPr="00EF5C5A">
        <w:rPr>
          <w:rFonts w:ascii="Gordita" w:hAnsi="Gordita"/>
          <w:sz w:val="20"/>
          <w:szCs w:val="20"/>
        </w:rPr>
        <w:t xml:space="preserve">  The scope of this confirmation excludes Seychelles law.</w:t>
      </w:r>
    </w:p>
    <w:p w14:paraId="672B2EDD" w14:textId="77777777" w:rsidR="00EF5C5A" w:rsidRPr="00EF5C5A" w:rsidRDefault="00EF5C5A" w:rsidP="00EF5C5A">
      <w:pPr>
        <w:pStyle w:val="ListParagraph"/>
        <w:rPr>
          <w:rFonts w:ascii="Gordita" w:hAnsi="Gordita"/>
          <w:sz w:val="20"/>
          <w:szCs w:val="20"/>
        </w:rPr>
      </w:pPr>
    </w:p>
    <w:p w14:paraId="34EB9F57" w14:textId="63D4169B" w:rsidR="002E10C7" w:rsidRPr="00EF5C5A" w:rsidRDefault="002E10C7" w:rsidP="00EF5C5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eastAsiaTheme="minorEastAsia"/>
          <w:sz w:val="20"/>
          <w:szCs w:val="20"/>
        </w:rPr>
      </w:pPr>
      <w:r w:rsidRPr="00EF5C5A">
        <w:rPr>
          <w:rFonts w:ascii="Gordita" w:hAnsi="Gordita"/>
          <w:sz w:val="20"/>
          <w:szCs w:val="20"/>
        </w:rPr>
        <w:t xml:space="preserve">Whether payments on the </w:t>
      </w:r>
      <w:r w:rsidR="00EF5C5A" w:rsidRPr="00EF5C5A">
        <w:rPr>
          <w:rFonts w:ascii="Gordita" w:hAnsi="Gordita"/>
          <w:sz w:val="20"/>
          <w:szCs w:val="20"/>
        </w:rPr>
        <w:t>Securities</w:t>
      </w:r>
      <w:r w:rsidRPr="00EF5C5A">
        <w:rPr>
          <w:rFonts w:ascii="Gordita" w:hAnsi="Gordita"/>
          <w:sz w:val="20"/>
          <w:szCs w:val="20"/>
        </w:rPr>
        <w:t xml:space="preserve"> will according to US tax law be deemed to be US-source income. The legal opinion should in this part be a reasonable assessment, based on the present knowledge regarding the character of the payments and applicable regulations. </w:t>
      </w:r>
    </w:p>
    <w:p w14:paraId="66A733F3" w14:textId="77777777" w:rsidR="002772D8" w:rsidRPr="00EF5C5A" w:rsidRDefault="002772D8" w:rsidP="00EF5C5A">
      <w:pPr>
        <w:pStyle w:val="ListParagraph"/>
        <w:ind w:left="360"/>
        <w:rPr>
          <w:rFonts w:ascii="Gordita" w:hAnsi="Gordita"/>
          <w:sz w:val="20"/>
          <w:szCs w:val="20"/>
        </w:rPr>
      </w:pPr>
    </w:p>
    <w:p w14:paraId="07C43459" w14:textId="6E14CF56" w:rsidR="002772D8" w:rsidRPr="00EF5C5A" w:rsidRDefault="002772D8" w:rsidP="00EF5C5A">
      <w:pPr>
        <w:pStyle w:val="ListParagraph"/>
        <w:numPr>
          <w:ilvl w:val="0"/>
          <w:numId w:val="1"/>
        </w:numPr>
        <w:ind w:left="360"/>
        <w:jc w:val="both"/>
        <w:rPr>
          <w:rFonts w:ascii="Gordita" w:hAnsi="Gordita"/>
          <w:sz w:val="20"/>
          <w:szCs w:val="20"/>
        </w:rPr>
      </w:pPr>
      <w:r w:rsidRPr="00EF5C5A">
        <w:rPr>
          <w:rFonts w:ascii="Gordita" w:hAnsi="Gordita"/>
          <w:sz w:val="20"/>
          <w:szCs w:val="20"/>
        </w:rPr>
        <w:t xml:space="preserve">Whether the payments on the </w:t>
      </w:r>
      <w:r w:rsidR="00A10DE8">
        <w:rPr>
          <w:rFonts w:ascii="Gordita" w:hAnsi="Gordita"/>
          <w:sz w:val="20"/>
          <w:szCs w:val="20"/>
        </w:rPr>
        <w:t>Securities</w:t>
      </w:r>
      <w:r w:rsidRPr="00EF5C5A">
        <w:rPr>
          <w:rFonts w:ascii="Gordita" w:hAnsi="Gordita"/>
          <w:sz w:val="20"/>
          <w:szCs w:val="20"/>
        </w:rPr>
        <w:t xml:space="preserve"> are subject to withholding or deduction for, any taxes, duties, assessments or governmental charges of whatsoever nature imposed, levied, collected, withheld or assessed by 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>’s country of incorporation or any political subdivision or authority thereof or therein having power to tax and, if so, who (</w:t>
      </w:r>
      <w:r w:rsidR="42984C66" w:rsidRPr="00EF5C5A">
        <w:rPr>
          <w:rFonts w:ascii="Gordita" w:hAnsi="Gordita"/>
          <w:sz w:val="20"/>
          <w:szCs w:val="20"/>
        </w:rPr>
        <w:t xml:space="preserve">e.g. </w:t>
      </w:r>
      <w:r w:rsidRPr="00EF5C5A">
        <w:rPr>
          <w:rFonts w:ascii="Gordita" w:hAnsi="Gordita"/>
          <w:sz w:val="20"/>
          <w:szCs w:val="20"/>
        </w:rPr>
        <w:t xml:space="preserve">the </w:t>
      </w:r>
      <w:r w:rsidR="00EF5C5A" w:rsidRPr="00EF5C5A">
        <w:rPr>
          <w:rFonts w:ascii="Gordita" w:hAnsi="Gordita"/>
          <w:sz w:val="20"/>
          <w:szCs w:val="20"/>
        </w:rPr>
        <w:t>Issuer</w:t>
      </w:r>
      <w:r w:rsidRPr="00EF5C5A">
        <w:rPr>
          <w:rFonts w:ascii="Gordita" w:hAnsi="Gordita"/>
          <w:sz w:val="20"/>
          <w:szCs w:val="20"/>
        </w:rPr>
        <w:t xml:space="preserve"> or MERJ DEP) would be liable to do this.</w:t>
      </w:r>
    </w:p>
    <w:p w14:paraId="39D2EC05" w14:textId="67418AF7" w:rsidR="00B753B5" w:rsidRDefault="00B753B5" w:rsidP="6554A42F">
      <w:pPr>
        <w:ind w:left="360"/>
        <w:jc w:val="both"/>
        <w:rPr>
          <w:rFonts w:ascii="Gordita" w:hAnsi="Gordita"/>
        </w:rPr>
      </w:pPr>
    </w:p>
    <w:p w14:paraId="3419C64E" w14:textId="3F3AAB5A" w:rsidR="00ED638C" w:rsidRDefault="00ED638C" w:rsidP="6554A42F">
      <w:pPr>
        <w:jc w:val="both"/>
        <w:rPr>
          <w:rFonts w:ascii="Gordita" w:hAnsi="Gordita"/>
        </w:rPr>
      </w:pPr>
    </w:p>
    <w:p w14:paraId="229D1DA3" w14:textId="77777777" w:rsidR="00ED638C" w:rsidRPr="00DE60AB" w:rsidRDefault="00ED638C" w:rsidP="6554A42F">
      <w:pPr>
        <w:jc w:val="both"/>
        <w:rPr>
          <w:rFonts w:ascii="Gordita" w:hAnsi="Gordita"/>
        </w:rPr>
      </w:pPr>
    </w:p>
    <w:p w14:paraId="62FE5C86" w14:textId="0672BED9" w:rsidR="009B326A" w:rsidRPr="00DE60AB" w:rsidRDefault="00DE60AB" w:rsidP="6554A42F">
      <w:pPr>
        <w:jc w:val="both"/>
        <w:rPr>
          <w:rFonts w:ascii="Gordita" w:hAnsi="Gordita"/>
        </w:rPr>
      </w:pPr>
      <w:r w:rsidRPr="6554A42F">
        <w:rPr>
          <w:rFonts w:ascii="Gordita" w:hAnsi="Gordita"/>
        </w:rPr>
        <w:t>___________________________________________________________________________</w:t>
      </w:r>
      <w:bookmarkEnd w:id="0"/>
    </w:p>
    <w:sectPr w:rsidR="009B326A" w:rsidRPr="00DE6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9E8B" w14:textId="77777777" w:rsidR="004A188C" w:rsidRDefault="004A188C" w:rsidP="00DE60AB">
      <w:pPr>
        <w:spacing w:after="0" w:line="240" w:lineRule="auto"/>
      </w:pPr>
      <w:r>
        <w:separator/>
      </w:r>
    </w:p>
  </w:endnote>
  <w:endnote w:type="continuationSeparator" w:id="0">
    <w:p w14:paraId="625D1F23" w14:textId="77777777" w:rsidR="004A188C" w:rsidRDefault="004A188C" w:rsidP="00DE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rdita">
    <w:altName w:val="Calibri"/>
    <w:panose1 w:val="00000000000000000000"/>
    <w:charset w:val="00"/>
    <w:family w:val="modern"/>
    <w:notTrueType/>
    <w:pitch w:val="variable"/>
    <w:sig w:usb0="A10002EF" w:usb1="5000E0FA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6CB4" w14:textId="77777777" w:rsidR="004A188C" w:rsidRDefault="004A188C" w:rsidP="00DE60AB">
      <w:pPr>
        <w:spacing w:after="0" w:line="240" w:lineRule="auto"/>
      </w:pPr>
      <w:r>
        <w:separator/>
      </w:r>
    </w:p>
  </w:footnote>
  <w:footnote w:type="continuationSeparator" w:id="0">
    <w:p w14:paraId="4DA3969F" w14:textId="77777777" w:rsidR="004A188C" w:rsidRDefault="004A188C" w:rsidP="00DE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50923"/>
    <w:multiLevelType w:val="hybridMultilevel"/>
    <w:tmpl w:val="4EE29FCA"/>
    <w:lvl w:ilvl="0" w:tplc="96DE2A70">
      <w:start w:val="1"/>
      <w:numFmt w:val="decimal"/>
      <w:lvlText w:val="%1."/>
      <w:lvlJc w:val="left"/>
      <w:pPr>
        <w:ind w:left="720" w:hanging="360"/>
      </w:pPr>
      <w:rPr>
        <w:rFonts w:ascii="Gordita" w:hAnsi="Gordita" w:hint="default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56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AB"/>
    <w:rsid w:val="00001BB3"/>
    <w:rsid w:val="00072BE5"/>
    <w:rsid w:val="000C71B4"/>
    <w:rsid w:val="000D700D"/>
    <w:rsid w:val="001961B2"/>
    <w:rsid w:val="002772D8"/>
    <w:rsid w:val="002D621B"/>
    <w:rsid w:val="002E10C7"/>
    <w:rsid w:val="00382EF7"/>
    <w:rsid w:val="0042372F"/>
    <w:rsid w:val="004A188C"/>
    <w:rsid w:val="004C2490"/>
    <w:rsid w:val="004F4C75"/>
    <w:rsid w:val="00565C30"/>
    <w:rsid w:val="005805E8"/>
    <w:rsid w:val="007526F5"/>
    <w:rsid w:val="007F1435"/>
    <w:rsid w:val="00881A88"/>
    <w:rsid w:val="00A10DE8"/>
    <w:rsid w:val="00A73CDE"/>
    <w:rsid w:val="00B13A17"/>
    <w:rsid w:val="00B753B5"/>
    <w:rsid w:val="00C01AAE"/>
    <w:rsid w:val="00DE37A6"/>
    <w:rsid w:val="00DE60AB"/>
    <w:rsid w:val="00E02EA4"/>
    <w:rsid w:val="00EA6CD9"/>
    <w:rsid w:val="00ED638C"/>
    <w:rsid w:val="00EF5C5A"/>
    <w:rsid w:val="00F529D4"/>
    <w:rsid w:val="00F55E15"/>
    <w:rsid w:val="00F62F8A"/>
    <w:rsid w:val="01BD5A4E"/>
    <w:rsid w:val="02E096AC"/>
    <w:rsid w:val="07BABF4B"/>
    <w:rsid w:val="07DAF916"/>
    <w:rsid w:val="09256F20"/>
    <w:rsid w:val="0A6E5986"/>
    <w:rsid w:val="0A94C26A"/>
    <w:rsid w:val="11256593"/>
    <w:rsid w:val="12AD5839"/>
    <w:rsid w:val="14EFB9E1"/>
    <w:rsid w:val="15F9A0FF"/>
    <w:rsid w:val="16F03409"/>
    <w:rsid w:val="18D8752B"/>
    <w:rsid w:val="1B23EE75"/>
    <w:rsid w:val="1D3329B3"/>
    <w:rsid w:val="1EF8E490"/>
    <w:rsid w:val="1FC99F00"/>
    <w:rsid w:val="21867882"/>
    <w:rsid w:val="23BD867B"/>
    <w:rsid w:val="248F4E4D"/>
    <w:rsid w:val="24AEF27D"/>
    <w:rsid w:val="269C62C4"/>
    <w:rsid w:val="289DEA0D"/>
    <w:rsid w:val="29AD93CB"/>
    <w:rsid w:val="2A318D75"/>
    <w:rsid w:val="2AF46A48"/>
    <w:rsid w:val="2B3E85A2"/>
    <w:rsid w:val="2C84164C"/>
    <w:rsid w:val="2D8F087C"/>
    <w:rsid w:val="2E586907"/>
    <w:rsid w:val="2FDEA5E8"/>
    <w:rsid w:val="326E33B0"/>
    <w:rsid w:val="32A927FC"/>
    <w:rsid w:val="335A47DC"/>
    <w:rsid w:val="34A85924"/>
    <w:rsid w:val="35DB7DB4"/>
    <w:rsid w:val="37CC7B77"/>
    <w:rsid w:val="39A19BF6"/>
    <w:rsid w:val="3DCA66D9"/>
    <w:rsid w:val="404DD089"/>
    <w:rsid w:val="412270E2"/>
    <w:rsid w:val="41A58A53"/>
    <w:rsid w:val="41B0178C"/>
    <w:rsid w:val="41F779D0"/>
    <w:rsid w:val="42984C66"/>
    <w:rsid w:val="4464DB9D"/>
    <w:rsid w:val="47D9C88F"/>
    <w:rsid w:val="480A2146"/>
    <w:rsid w:val="486E92F2"/>
    <w:rsid w:val="48E81E9B"/>
    <w:rsid w:val="4DCB4ACB"/>
    <w:rsid w:val="4FC98920"/>
    <w:rsid w:val="500690CA"/>
    <w:rsid w:val="516BCC54"/>
    <w:rsid w:val="535986D0"/>
    <w:rsid w:val="54917669"/>
    <w:rsid w:val="54EEE356"/>
    <w:rsid w:val="55327512"/>
    <w:rsid w:val="55E3A926"/>
    <w:rsid w:val="56343736"/>
    <w:rsid w:val="570D2F80"/>
    <w:rsid w:val="58C84BEA"/>
    <w:rsid w:val="599130F0"/>
    <w:rsid w:val="5A1FF09C"/>
    <w:rsid w:val="5C306B6B"/>
    <w:rsid w:val="6095D2D6"/>
    <w:rsid w:val="60D78D56"/>
    <w:rsid w:val="61A8219C"/>
    <w:rsid w:val="61E9DD17"/>
    <w:rsid w:val="629CF611"/>
    <w:rsid w:val="64FD68CE"/>
    <w:rsid w:val="6544BF86"/>
    <w:rsid w:val="6554A42F"/>
    <w:rsid w:val="65F4E9F2"/>
    <w:rsid w:val="67B78903"/>
    <w:rsid w:val="6814FE9F"/>
    <w:rsid w:val="69DF8FB7"/>
    <w:rsid w:val="6D369B73"/>
    <w:rsid w:val="6E775196"/>
    <w:rsid w:val="6F26E869"/>
    <w:rsid w:val="716157CB"/>
    <w:rsid w:val="7298A68A"/>
    <w:rsid w:val="749849DB"/>
    <w:rsid w:val="75785A18"/>
    <w:rsid w:val="75F9E794"/>
    <w:rsid w:val="764C4863"/>
    <w:rsid w:val="76E49538"/>
    <w:rsid w:val="77FED250"/>
    <w:rsid w:val="79BF9335"/>
    <w:rsid w:val="7A164739"/>
    <w:rsid w:val="7B3811BE"/>
    <w:rsid w:val="7C02B77E"/>
    <w:rsid w:val="7C476B0C"/>
    <w:rsid w:val="7D438131"/>
    <w:rsid w:val="7D5ED413"/>
    <w:rsid w:val="7DC83D80"/>
    <w:rsid w:val="7EC7C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CE50F"/>
  <w15:chartTrackingRefBased/>
  <w15:docId w15:val="{82106AAC-E594-4555-BD47-5C68FF4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0AB"/>
  </w:style>
  <w:style w:type="paragraph" w:styleId="Footer">
    <w:name w:val="footer"/>
    <w:basedOn w:val="Normal"/>
    <w:link w:val="FooterChar"/>
    <w:uiPriority w:val="99"/>
    <w:unhideWhenUsed/>
    <w:rsid w:val="00DE6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0AB"/>
  </w:style>
  <w:style w:type="paragraph" w:styleId="ListParagraph">
    <w:name w:val="List Paragraph"/>
    <w:basedOn w:val="Normal"/>
    <w:uiPriority w:val="34"/>
    <w:qFormat/>
    <w:rsid w:val="00E02E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1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0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0C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6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69DD9CB61B4B94B09CF2AED8C9C0" ma:contentTypeVersion="4" ma:contentTypeDescription="Create a new document." ma:contentTypeScope="" ma:versionID="f64184dc3593087ba8250519d0a73d0b">
  <xsd:schema xmlns:xsd="http://www.w3.org/2001/XMLSchema" xmlns:xs="http://www.w3.org/2001/XMLSchema" xmlns:p="http://schemas.microsoft.com/office/2006/metadata/properties" xmlns:ns2="af356cdc-6250-40c3-9e93-9950add7390f" targetNamespace="http://schemas.microsoft.com/office/2006/metadata/properties" ma:root="true" ma:fieldsID="5f7788756cef75f7ea8690eb1cec11e6" ns2:_="">
    <xsd:import namespace="af356cdc-6250-40c3-9e93-9950add73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56cdc-6250-40c3-9e93-9950add73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0C323-2DB1-456B-8443-81E7EE7D2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C150B-D9FE-4638-BFF8-C2C9F516D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69B25F-35E3-4AFD-965D-CA18BF533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56cdc-6250-40c3-9e93-9950add73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Mondon</dc:creator>
  <cp:keywords/>
  <dc:description/>
  <cp:lastModifiedBy>Bobby Brantley</cp:lastModifiedBy>
  <cp:revision>9</cp:revision>
  <dcterms:created xsi:type="dcterms:W3CDTF">2020-03-13T08:18:00Z</dcterms:created>
  <dcterms:modified xsi:type="dcterms:W3CDTF">2022-11-29T09:41:00Z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0x01010044F669DD9CB61B4B94B09CF2AED8C9C0</vt:lpwstr>
  </property>
</Properties>
</file>